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11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5446"/>
        <w:gridCol w:w="570"/>
        <w:gridCol w:w="7"/>
        <w:gridCol w:w="1293"/>
        <w:gridCol w:w="1401"/>
        <w:gridCol w:w="1616"/>
        <w:gridCol w:w="222"/>
      </w:tblGrid>
      <w:tr>
        <w:trPr>
          <w:trHeight w:val="446" w:hRule="atLeast"/>
        </w:trPr>
        <w:tc>
          <w:tcPr>
            <w:tcW w:w="5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lang w:val="en-US" w:eastAsia="en-US" w:bidi="ar-SA"/>
              </w:rPr>
              <w:t>N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rtl w:val="true"/>
                <w:lang w:val="en-US" w:eastAsia="en-US" w:bidi="ar-SA"/>
              </w:rPr>
              <w:t>°</w:t>
            </w:r>
          </w:p>
        </w:tc>
        <w:tc>
          <w:tcPr>
            <w:tcW w:w="54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lang w:val="en-US" w:eastAsia="en-US" w:bidi="ar-SA"/>
              </w:rPr>
              <w:t>Designation des ouvrages</w:t>
            </w:r>
          </w:p>
        </w:tc>
        <w:tc>
          <w:tcPr>
            <w:tcW w:w="5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lang w:val="en-US" w:eastAsia="en-US" w:bidi="ar-SA"/>
              </w:rPr>
              <w:t>U</w:t>
            </w:r>
          </w:p>
        </w:tc>
        <w:tc>
          <w:tcPr>
            <w:tcW w:w="130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lang w:val="en-US" w:eastAsia="en-US" w:bidi="ar-SA"/>
              </w:rPr>
              <w:t>Quantité</w:t>
            </w:r>
          </w:p>
        </w:tc>
        <w:tc>
          <w:tcPr>
            <w:tcW w:w="14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lang w:val="en-US" w:eastAsia="en-US" w:bidi="ar-SA"/>
              </w:rPr>
              <w:t>P/U en H.TVA</w:t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4"/>
                <w:szCs w:val="24"/>
                <w:lang w:val="en-US" w:eastAsia="en-US" w:bidi="ar-SA"/>
              </w:rPr>
              <w:t>Montant  en H.TVA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695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01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netoyage et transport à la décharge publique des terres excédentaire ainsi que toute suggestion de bonne exécution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ENS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614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02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F/Pose de pré- scellement mur séparation b13 compris  peinture vinyle au deux coté  et toute suggestions de bonne exécution</w:t>
            </w:r>
          </w:p>
        </w:tc>
        <w:tc>
          <w:tcPr>
            <w:tcW w:w="5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M²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79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03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Fourniture  et  pose  de  carreaux  de  faux  plafond démontable 60 x 60 cm, y compris ossature de suspension   ainsi   que   toutes   sujétions   de   bonne exécution.</w:t>
            </w:r>
          </w:p>
        </w:tc>
        <w:tc>
          <w:tcPr>
            <w:tcW w:w="5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M2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614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04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F/P fénétre aluminium dim (1,40*1,2)m </w:t>
              <w:br/>
              <w:t>y compris toutes sujétions de bonne exécution.</w:t>
            </w:r>
          </w:p>
        </w:tc>
        <w:tc>
          <w:tcPr>
            <w:tcW w:w="5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U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05</w:t>
            </w:r>
          </w:p>
        </w:tc>
        <w:tc>
          <w:tcPr>
            <w:tcW w:w="54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 porte aluminium dim (0,9*2,2)m</w:t>
            </w:r>
          </w:p>
        </w:tc>
        <w:tc>
          <w:tcPr>
            <w:tcW w:w="570" w:type="dxa"/>
            <w:tcBorders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 w:bidi="ar-DZ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U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06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tbl>
            <w:tblPr>
              <w:bidiVisual w:val="true"/>
              <w:tblW w:w="5230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5230"/>
            </w:tblGrid>
            <w:tr>
              <w:trPr>
                <w:trHeight w:val="859" w:hRule="atLeast"/>
              </w:trPr>
              <w:tc>
                <w:tcPr>
                  <w:tcW w:w="5230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 w:themeFill="background1"/>
                    <w:tabs>
                      <w:tab w:val="clear" w:pos="720"/>
                      <w:tab w:val="center" w:pos="4153" w:leader="none"/>
                      <w:tab w:val="right" w:pos="8306" w:leader="none"/>
                    </w:tabs>
                    <w:bidi w:val="0"/>
                    <w:spacing w:lineRule="auto" w:line="240" w:before="0" w:after="0"/>
                    <w:jc w:val="lef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F/P tuyau En Multicouche DN= comprenant Tés ,</w:t>
                    <w:br/>
                    <w:t>coude, raccord union colliers espacement de 0,50 m</w:t>
                    <w:br/>
                    <w:t xml:space="preserve">,tous les accessoires nécessaires et toutes sujétions. </w:t>
                  </w:r>
                </w:p>
              </w:tc>
            </w:tr>
          </w:tbl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160"/>
              <w:jc w:val="left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fr-FR" w:eastAsia="en-US" w:bidi="ar-SA"/>
              </w:rPr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rtl w:val="true"/>
                <w:lang w:val="fr-FR" w:eastAsia="en-US"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fr-FR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6.1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•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Diam 15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ML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fr-FR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6.2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•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Diam 20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ML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6.3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•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Diam 32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ML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07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F/P Collecteur distributeur à vannes EF EC de </w:t>
            </w:r>
            <w:r>
              <w:rPr>
                <w:rFonts w:eastAsia="Calibri" w:cs="Cambria Math" w:ascii="Cambria Math" w:hAnsi="Cambria Math"/>
                <w:kern w:val="0"/>
                <w:sz w:val="22"/>
                <w:szCs w:val="22"/>
                <w:lang w:val="fr-FR" w:eastAsia="en-US" w:bidi="ar-SA"/>
              </w:rPr>
              <w:t>∅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20</w:t>
              <w:br/>
              <w:t xml:space="preserve">- 01 sortie/ EF de </w:t>
            </w:r>
            <w:r>
              <w:rPr>
                <w:rFonts w:eastAsia="Calibri" w:cs="Cambria Math" w:ascii="Cambria Math" w:hAnsi="Cambria Math"/>
                <w:kern w:val="0"/>
                <w:sz w:val="22"/>
                <w:szCs w:val="22"/>
                <w:lang w:val="fr-FR" w:eastAsia="en-US" w:bidi="ar-SA"/>
              </w:rPr>
              <w:t>∅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20 et 01 sortie EC de </w:t>
            </w:r>
            <w:r>
              <w:rPr>
                <w:rFonts w:eastAsia="Calibri" w:cs="Cambria Math" w:ascii="Cambria Math" w:hAnsi="Cambria Math"/>
                <w:kern w:val="0"/>
                <w:sz w:val="22"/>
                <w:szCs w:val="22"/>
                <w:lang w:val="fr-FR" w:eastAsia="en-US" w:bidi="ar-SA"/>
              </w:rPr>
              <w:t>∅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20.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U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08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 Prise de courant  simple encastrée 2P+T 16A/230V,  y compris toutes sujétions de bonne exécution.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U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644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09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 Prise de courant  simple  étanche 2P+T</w:t>
              <w:br/>
              <w:t>16A/230V ,y compris toutes sujétions de bonne exécution.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U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328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bookmarkStart w:id="0" w:name="_Hlk204072047"/>
            <w:bookmarkEnd w:id="0"/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10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 câble électrique 1x2,5mm²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ml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  <w:bookmarkStart w:id="1" w:name="_Hlk204072047"/>
            <w:bookmarkStart w:id="2" w:name="_Hlk204072047"/>
            <w:bookmarkEnd w:id="2"/>
          </w:p>
        </w:tc>
      </w:tr>
      <w:tr>
        <w:trPr>
          <w:trHeight w:val="276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11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 câble électrique 1x1,5mm²</w:t>
            </w:r>
          </w:p>
        </w:tc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ml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566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12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F/P câble en cuivre mise à la terre 1x2,5mm² ,y compris toutes sujétions de bonne exécution.</w:t>
            </w:r>
          </w:p>
        </w:tc>
        <w:tc>
          <w:tcPr>
            <w:tcW w:w="5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ml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564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13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 xml:space="preserve">Dimolition mur 15 cm et peinture vénilique le trace de dimolition </w:t>
            </w:r>
          </w:p>
        </w:tc>
        <w:tc>
          <w:tcPr>
            <w:tcW w:w="570" w:type="dxa"/>
            <w:tcBorders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M2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Calibri"/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434" w:hRule="atLeast"/>
        </w:trPr>
        <w:tc>
          <w:tcPr>
            <w:tcW w:w="5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14</w:t>
            </w:r>
          </w:p>
        </w:tc>
        <w:tc>
          <w:tcPr>
            <w:tcW w:w="544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both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  <w:t>Extracteur d’Air Métallique 300mm Ventilation Pro.</w:t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bidi w:val="0"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570" w:type="dxa"/>
            <w:tcBorders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fr-FR" w:eastAsia="en-US" w:bidi="ar-DZ"/>
              </w:rPr>
              <w:t>U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6568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8"/>
                <w:szCs w:val="28"/>
                <w:lang w:val="fr-FR" w:eastAsia="en-US" w:bidi="ar-SA"/>
              </w:rPr>
              <w:t>Montant total en H.TVA</w:t>
            </w:r>
          </w:p>
        </w:tc>
        <w:tc>
          <w:tcPr>
            <w:tcW w:w="43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right"/>
              <w:rPr>
                <w:b/>
                <w:bCs/>
                <w:i/>
                <w:i/>
                <w:iCs/>
                <w:sz w:val="28"/>
                <w:szCs w:val="28"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8"/>
                <w:szCs w:val="28"/>
                <w:rtl w:val="true"/>
                <w:lang w:val="fr-FR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6568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8"/>
                <w:szCs w:val="28"/>
                <w:lang w:val="fr-FR" w:eastAsia="en-US" w:bidi="ar-SA"/>
              </w:rPr>
              <w:t>TVA 19%</w:t>
            </w:r>
          </w:p>
        </w:tc>
        <w:tc>
          <w:tcPr>
            <w:tcW w:w="4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right"/>
              <w:rPr>
                <w:b/>
                <w:bCs/>
                <w:i/>
                <w:i/>
                <w:iCs/>
                <w:sz w:val="28"/>
                <w:szCs w:val="28"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8"/>
                <w:szCs w:val="28"/>
                <w:rtl w:val="true"/>
                <w:lang w:val="fr-FR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6568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8"/>
                <w:szCs w:val="28"/>
                <w:lang w:val="fr-FR" w:eastAsia="en-US" w:bidi="ar-SA"/>
              </w:rPr>
              <w:t>Montant Total en TTC</w:t>
            </w:r>
          </w:p>
        </w:tc>
        <w:tc>
          <w:tcPr>
            <w:tcW w:w="4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right"/>
              <w:rPr>
                <w:b/>
                <w:bCs/>
                <w:i/>
                <w:i/>
                <w:iCs/>
                <w:sz w:val="28"/>
                <w:szCs w:val="28"/>
                <w:lang w:val="fr-FR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 w:val="28"/>
                <w:szCs w:val="28"/>
                <w:rtl w:val="true"/>
                <w:lang w:val="fr-FR" w:eastAsia="en-US" w:bidi="ar-SA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Calibri" w:hAnsi="Calibri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144" w:hanging="0"/>
        <w:jc w:val="both"/>
        <w:rPr>
          <w:rFonts w:ascii="Times New Roman" w:hAnsi="Times New Roman" w:eastAsia="Calibri" w:cs="Times New Roman" w:asciiTheme="majorBidi" w:cstheme="majorBidi" w:hAnsiTheme="majorBidi"/>
          <w:color w:val="000000"/>
          <w:lang w:bidi="ar-DZ"/>
        </w:rPr>
      </w:pPr>
      <w:r>
        <w:rPr>
          <w:rFonts w:ascii="Times New Roman" w:hAnsi="Times New Roman" w:eastAsia="Calibri" w:cs="Times New Roman" w:asciiTheme="majorBidi" w:cstheme="majorBidi" w:hAnsiTheme="majorBidi"/>
          <w:b/>
          <w:b/>
          <w:bCs/>
          <w:color w:val="000000"/>
          <w:sz w:val="24"/>
          <w:sz w:val="24"/>
          <w:szCs w:val="24"/>
          <w:rtl w:val="true"/>
          <w:lang w:bidi="ar-DZ"/>
        </w:rPr>
        <w:t xml:space="preserve">أوقف هذا التفصيل الكمي والتقديري بالمبلغ الإجمالي الآتي بالدينار الجزائري المتضمن كل الرسوم 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4"/>
          <w:szCs w:val="24"/>
          <w:rtl w:val="true"/>
          <w:lang w:bidi="ar-DZ"/>
        </w:rPr>
        <w:t>(</w:t>
      </w:r>
      <w:r>
        <w:rPr>
          <w:rFonts w:ascii="Times New Roman" w:hAnsi="Times New Roman" w:eastAsia="Calibri" w:cs="Times New Roman" w:asciiTheme="majorBidi" w:cstheme="majorBidi" w:hAnsiTheme="majorBidi"/>
          <w:b/>
          <w:b/>
          <w:bCs/>
          <w:color w:val="000000"/>
          <w:sz w:val="24"/>
          <w:sz w:val="24"/>
          <w:szCs w:val="24"/>
          <w:rtl w:val="true"/>
          <w:lang w:bidi="ar-DZ"/>
        </w:rPr>
        <w:t>بالحروف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4"/>
          <w:szCs w:val="24"/>
          <w:rtl w:val="true"/>
          <w:lang w:bidi="ar-DZ"/>
        </w:rPr>
        <w:t xml:space="preserve">): </w:t>
      </w:r>
      <w:r>
        <w:rPr>
          <w:rFonts w:eastAsia="Calibri" w:cs="Times New Roman" w:ascii="Times New Roman" w:hAnsi="Times New Roman" w:asciiTheme="majorBidi" w:cstheme="majorBidi" w:hAnsiTheme="majorBidi"/>
          <w:color w:val="000000"/>
          <w:rtl w:val="true"/>
          <w:lang w:bidi="ar-DZ"/>
        </w:rPr>
        <w:t>.</w:t>
      </w:r>
    </w:p>
    <w:p>
      <w:pPr>
        <w:pStyle w:val="Normal"/>
        <w:spacing w:lineRule="auto" w:line="240" w:before="0" w:after="0"/>
        <w:ind w:left="-144" w:hanging="0"/>
        <w:rPr>
          <w:rFonts w:ascii="Times New Roman" w:hAnsi="Times New Roman" w:eastAsia="Calibri" w:cs="Times New Roman" w:asciiTheme="majorBidi" w:cstheme="majorBidi" w:hAnsiTheme="majorBidi"/>
          <w:color w:val="000000"/>
          <w:sz w:val="28"/>
          <w:szCs w:val="28"/>
          <w:lang w:bidi="ar-DZ"/>
        </w:rPr>
      </w:pPr>
      <w:r>
        <mc:AlternateContent>
          <mc:Choice Requires="wps">
            <w:drawing>
              <wp:anchor behindDoc="0" distT="0" distB="0" distL="0" distR="8890" simplePos="0" locked="0" layoutInCell="1" allowOverlap="1" relativeHeight="2" wp14:anchorId="6A142108">
                <wp:simplePos x="0" y="0"/>
                <wp:positionH relativeFrom="column">
                  <wp:posOffset>-600075</wp:posOffset>
                </wp:positionH>
                <wp:positionV relativeFrom="paragraph">
                  <wp:posOffset>11430</wp:posOffset>
                </wp:positionV>
                <wp:extent cx="3152775" cy="1104900"/>
                <wp:effectExtent l="635" t="0" r="0" b="0"/>
                <wp:wrapNone/>
                <wp:docPr id="1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88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/>
                                <w:bCs/>
                                <w:sz w:val="28"/>
                                <w:sz w:val="28"/>
                                <w:szCs w:val="28"/>
                                <w:rtl w:val="true"/>
                                <w:lang w:bidi="ar-DZ"/>
                              </w:rPr>
                              <w:t>قرئ و قبل وصودق عليه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/>
                                <w:bCs/>
                                <w:sz w:val="26"/>
                                <w:sz w:val="26"/>
                                <w:szCs w:val="26"/>
                                <w:rtl w:val="true"/>
                                <w:lang w:bidi="ar-DZ"/>
                              </w:rPr>
                              <w:t>حرر بـ</w:t>
                            </w:r>
                            <w:r>
                              <w:rPr>
                                <w:sz w:val="16"/>
                                <w:szCs w:val="16"/>
                                <w:rtl w:val="true"/>
                                <w:lang w:bidi="ar-DZ"/>
                              </w:rPr>
                              <w:t>..........</w:t>
                            </w:r>
                            <w:r>
                              <w:rPr>
                                <w:rFonts w:cs="Simplified Arabic"/>
                                <w:sz w:val="26"/>
                                <w:sz w:val="26"/>
                                <w:szCs w:val="26"/>
                                <w:rtl w:val="true"/>
                                <w:lang w:bidi="ar-DZ"/>
                              </w:rPr>
                              <w:t>في</w:t>
                            </w:r>
                            <w:r>
                              <w:rPr>
                                <w:rFonts w:cs="Simplified Arabic"/>
                                <w:sz w:val="16"/>
                                <w:szCs w:val="16"/>
                                <w:rtl w:val="true"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rtl w:val="true"/>
                                <w:lang w:bidi="ar-DZ"/>
                              </w:rPr>
                              <w:t>..............................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cs="Arabic Transpare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abic Transparent"/>
                                <w:sz w:val="32"/>
                                <w:szCs w:val="32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cs="Arabic Transparent"/>
                                <w:sz w:val="32"/>
                                <w:sz w:val="32"/>
                                <w:szCs w:val="32"/>
                                <w:rtl w:val="true"/>
                              </w:rPr>
                              <w:t>المتعامل المتعاقد</w:t>
                            </w:r>
                            <w:r>
                              <w:rPr>
                                <w:rFonts w:cs="Arabic Transparent"/>
                                <w:sz w:val="32"/>
                                <w:szCs w:val="32"/>
                                <w:rtl w:val="true"/>
                              </w:rPr>
                              <w:t>)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abic Transparent"/>
                                <w:rtl w:val="true"/>
                              </w:rPr>
                              <w:t xml:space="preserve">الاسم واللقب </w:t>
                            </w:r>
                            <w:r>
                              <w:rPr>
                                <w:rFonts w:cs="Arabic Transparent"/>
                                <w:rtl w:val="true"/>
                              </w:rPr>
                              <w:t xml:space="preserve">- </w:t>
                            </w:r>
                            <w:r>
                              <w:rPr>
                                <w:rFonts w:cs="Arabic Transparent"/>
                                <w:rtl w:val="true"/>
                              </w:rPr>
                              <w:t xml:space="preserve">الصفة  </w:t>
                            </w:r>
                            <w:r>
                              <w:rPr>
                                <w:rFonts w:cs="Arabic Transparent"/>
                                <w:rtl w:val="true"/>
                              </w:rPr>
                              <w:t xml:space="preserve">- </w:t>
                            </w:r>
                            <w:r>
                              <w:rPr>
                                <w:rFonts w:cs="Arabic Transparent"/>
                                <w:rtl w:val="true"/>
                              </w:rPr>
                              <w:t>الختم والإمضاء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f" o:allowincell="f" style="position:absolute;margin-left:-47.25pt;margin-top:0.9pt;width:248.2pt;height:86.95pt;mso-wrap-style:square;v-text-anchor:top" wp14:anchorId="6A1421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>
                        <w:rPr>
                          <w:rFonts w:cs="Simplified Arabic"/>
                          <w:b/>
                          <w:b/>
                          <w:bCs/>
                          <w:sz w:val="28"/>
                          <w:sz w:val="28"/>
                          <w:szCs w:val="28"/>
                          <w:rtl w:val="true"/>
                          <w:lang w:bidi="ar-DZ"/>
                        </w:rPr>
                        <w:t>قرئ و قبل وصودق عليه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>
                        <w:rPr>
                          <w:rFonts w:cs="Simplified Arabic"/>
                          <w:b/>
                          <w:b/>
                          <w:bCs/>
                          <w:sz w:val="26"/>
                          <w:sz w:val="26"/>
                          <w:szCs w:val="26"/>
                          <w:rtl w:val="true"/>
                          <w:lang w:bidi="ar-DZ"/>
                        </w:rPr>
                        <w:t>حرر بـ</w:t>
                      </w:r>
                      <w:r>
                        <w:rPr>
                          <w:sz w:val="16"/>
                          <w:szCs w:val="16"/>
                          <w:rtl w:val="true"/>
                          <w:lang w:bidi="ar-DZ"/>
                        </w:rPr>
                        <w:t>..........</w:t>
                      </w:r>
                      <w:r>
                        <w:rPr>
                          <w:rFonts w:cs="Simplified Arabic"/>
                          <w:sz w:val="26"/>
                          <w:sz w:val="26"/>
                          <w:szCs w:val="26"/>
                          <w:rtl w:val="true"/>
                          <w:lang w:bidi="ar-DZ"/>
                        </w:rPr>
                        <w:t>في</w:t>
                      </w:r>
                      <w:r>
                        <w:rPr>
                          <w:rFonts w:cs="Simplified Arabic"/>
                          <w:sz w:val="16"/>
                          <w:szCs w:val="16"/>
                          <w:rtl w:val="true"/>
                          <w:lang w:bidi="ar-DZ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rtl w:val="true"/>
                          <w:lang w:bidi="ar-DZ"/>
                        </w:rPr>
                        <w:t>..............................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cs="Arabic Transparent"/>
                          <w:sz w:val="32"/>
                          <w:szCs w:val="32"/>
                        </w:rPr>
                      </w:pPr>
                      <w:r>
                        <w:rPr>
                          <w:rFonts w:cs="Arabic Transparent"/>
                          <w:sz w:val="32"/>
                          <w:szCs w:val="32"/>
                          <w:rtl w:val="true"/>
                        </w:rPr>
                        <w:t>(</w:t>
                      </w:r>
                      <w:r>
                        <w:rPr>
                          <w:rFonts w:cs="Arabic Transparent"/>
                          <w:sz w:val="32"/>
                          <w:sz w:val="32"/>
                          <w:szCs w:val="32"/>
                          <w:rtl w:val="true"/>
                        </w:rPr>
                        <w:t>المتعامل المتعاقد</w:t>
                      </w:r>
                      <w:r>
                        <w:rPr>
                          <w:rFonts w:cs="Arabic Transparent"/>
                          <w:sz w:val="32"/>
                          <w:szCs w:val="32"/>
                          <w:rtl w:val="true"/>
                        </w:rPr>
                        <w:t>)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abic Transparent"/>
                          <w:rtl w:val="true"/>
                        </w:rPr>
                        <w:t xml:space="preserve">الاسم واللقب </w:t>
                      </w:r>
                      <w:r>
                        <w:rPr>
                          <w:rFonts w:cs="Arabic Transparent"/>
                          <w:rtl w:val="true"/>
                        </w:rPr>
                        <w:t xml:space="preserve">- </w:t>
                      </w:r>
                      <w:r>
                        <w:rPr>
                          <w:rFonts w:cs="Arabic Transparent"/>
                          <w:rtl w:val="true"/>
                        </w:rPr>
                        <w:t xml:space="preserve">الصفة  </w:t>
                      </w:r>
                      <w:r>
                        <w:rPr>
                          <w:rFonts w:cs="Arabic Transparent"/>
                          <w:rtl w:val="true"/>
                        </w:rPr>
                        <w:t xml:space="preserve">- </w:t>
                      </w:r>
                      <w:r>
                        <w:rPr>
                          <w:rFonts w:cs="Arabic Transparent"/>
                          <w:rtl w:val="true"/>
                        </w:rPr>
                        <w:t>الختم والإمضاء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eastAsia="Calibri" w:cs="Times New Roman" w:asciiTheme="majorBidi" w:cstheme="majorBidi" w:hAnsiTheme="majorBidi"/>
          <w:b/>
          <w:b/>
          <w:bCs/>
          <w:color w:val="000000"/>
          <w:sz w:val="24"/>
          <w:sz w:val="24"/>
          <w:szCs w:val="24"/>
          <w:rtl w:val="true"/>
          <w:lang w:bidi="ar-DZ"/>
        </w:rPr>
        <w:t xml:space="preserve">مـــدة الإنجــــــاز 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4"/>
          <w:szCs w:val="24"/>
          <w:rtl w:val="true"/>
          <w:lang w:bidi="ar-DZ"/>
        </w:rPr>
        <w:t>:.</w:t>
      </w:r>
      <w:r>
        <w:rPr>
          <w:rFonts w:eastAsia="Calibri" w:cs="Times New Roman" w:ascii="Times New Roman" w:hAnsi="Times New Roman" w:asciiTheme="majorBidi" w:cstheme="majorBidi" w:hAnsiTheme="majorBidi"/>
          <w:color w:val="000000"/>
          <w:sz w:val="24"/>
          <w:szCs w:val="24"/>
          <w:rtl w:val="true"/>
          <w:lang w:bidi="ar-DZ"/>
        </w:rPr>
        <w:t>...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8"/>
          <w:szCs w:val="28"/>
          <w:rtl w:val="true"/>
          <w:lang w:bidi="ar-DZ"/>
        </w:rPr>
        <w:t xml:space="preserve"> </w:t>
      </w:r>
      <w:r>
        <w:rPr>
          <w:rFonts w:eastAsia="Calibri" w:cs="Times New Roman" w:ascii="Times New Roman" w:hAnsi="Times New Roman" w:asciiTheme="majorBidi" w:cstheme="majorBidi" w:hAnsiTheme="majorBidi"/>
          <w:color w:val="000000"/>
          <w:sz w:val="24"/>
          <w:szCs w:val="24"/>
          <w:rtl w:val="true"/>
          <w:lang w:bidi="ar-DZ"/>
        </w:rPr>
        <w:t>.............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4"/>
          <w:szCs w:val="24"/>
          <w:rtl w:val="true"/>
          <w:lang w:bidi="ar-DZ"/>
        </w:rPr>
        <w:t xml:space="preserve"> </w:t>
      </w:r>
      <w:r>
        <w:rPr>
          <w:rFonts w:ascii="Times New Roman" w:hAnsi="Times New Roman" w:eastAsia="Calibri" w:cs="Times New Roman" w:asciiTheme="majorBidi" w:cstheme="majorBidi" w:hAnsiTheme="majorBidi"/>
          <w:b/>
          <w:b/>
          <w:bCs/>
          <w:color w:val="000000"/>
          <w:sz w:val="24"/>
          <w:sz w:val="24"/>
          <w:szCs w:val="24"/>
          <w:rtl w:val="true"/>
          <w:lang w:bidi="ar-DZ"/>
        </w:rPr>
        <w:t>يــوما ابتداء من تاريخ استلام الأمر بالعمل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4"/>
          <w:szCs w:val="24"/>
          <w:rtl w:val="true"/>
          <w:lang w:bidi="ar-DZ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asciiTheme="majorBidi" w:cstheme="majorBidi" w:hAnsiTheme="majorBidi"/>
          <w:b/>
          <w:bCs/>
          <w:color w:val="000000"/>
          <w:sz w:val="32"/>
          <w:szCs w:val="32"/>
        </w:rPr>
      </w:pP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28"/>
          <w:szCs w:val="28"/>
          <w:rtl w:val="true"/>
        </w:rPr>
        <w:t xml:space="preserve"> </w:t>
      </w: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32"/>
          <w:szCs w:val="32"/>
          <w:rtl w:val="true"/>
        </w:rPr>
        <w:t xml:space="preserve">  </w:t>
      </w:r>
      <w:r>
        <w:rPr>
          <w:rFonts w:ascii="Times New Roman" w:hAnsi="Times New Roman" w:eastAsia="Calibri" w:cs="Times New Roman" w:asciiTheme="majorBidi" w:cstheme="majorBidi" w:hAnsiTheme="majorBidi"/>
          <w:b/>
          <w:b/>
          <w:bCs/>
          <w:color w:val="000000"/>
          <w:sz w:val="32"/>
          <w:sz w:val="32"/>
          <w:szCs w:val="32"/>
          <w:rtl w:val="true"/>
        </w:rPr>
        <w:t xml:space="preserve">صاحب المشروع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asciiTheme="majorBidi" w:cstheme="majorBidi" w:hAnsiTheme="majorBidi"/>
          <w:b/>
          <w:bCs/>
          <w:color w:val="000000"/>
          <w:sz w:val="32"/>
          <w:szCs w:val="32"/>
        </w:rPr>
      </w:pPr>
      <w:r>
        <w:rPr>
          <w:rFonts w:eastAsia="Calibri" w:cs="Times New Roman" w:ascii="Times New Roman" w:hAnsi="Times New Roman" w:asciiTheme="majorBidi" w:cstheme="majorBidi" w:hAnsiTheme="majorBidi"/>
          <w:b/>
          <w:bCs/>
          <w:color w:val="000000"/>
          <w:sz w:val="32"/>
          <w:szCs w:val="32"/>
          <w:rtl w:val="true"/>
        </w:rPr>
        <w:t xml:space="preserve">                                      </w:t>
      </w:r>
    </w:p>
    <w:p>
      <w:pPr>
        <w:pStyle w:val="Normal"/>
        <w:tabs>
          <w:tab w:val="clear" w:pos="720"/>
          <w:tab w:val="left" w:pos="1268" w:leader="none"/>
        </w:tabs>
        <w:spacing w:lineRule="auto" w:line="240" w:before="0" w:after="0"/>
        <w:rPr>
          <w:rFonts w:ascii="Times New Roman" w:hAnsi="Times New Roman" w:eastAsia="Calibri" w:cs="Times New Roman" w:asciiTheme="majorBidi" w:cstheme="majorBidi" w:hAnsiTheme="majorBidi"/>
          <w:color w:val="000000"/>
        </w:rPr>
      </w:pPr>
      <w:r>
        <w:rPr>
          <w:rFonts w:ascii="Times New Roman" w:hAnsi="Times New Roman" w:eastAsia="Calibri" w:cs="Times New Roman" w:asciiTheme="majorBidi" w:cstheme="majorBidi" w:hAnsiTheme="majorBidi"/>
          <w:b/>
          <w:b/>
          <w:bCs/>
          <w:color w:val="000000"/>
          <w:rtl w:val="true"/>
        </w:rPr>
        <w:t>ملاحظة</w:t>
      </w:r>
      <w:r>
        <w:rPr>
          <w:rFonts w:eastAsia="Calibri" w:cs="Times New Roman" w:ascii="Times New Roman" w:hAnsi="Times New Roman" w:asciiTheme="majorBidi" w:cstheme="majorBidi" w:hAnsiTheme="majorBidi"/>
          <w:color w:val="000000"/>
          <w:rtl w:val="true"/>
        </w:rPr>
        <w:t xml:space="preserve">: </w:t>
      </w:r>
      <w:r>
        <w:rPr>
          <w:rFonts w:ascii="Times New Roman" w:hAnsi="Times New Roman" w:eastAsia="Calibri" w:cs="Times New Roman" w:asciiTheme="majorBidi" w:cstheme="majorBidi" w:hAnsiTheme="majorBidi"/>
          <w:color w:val="000000"/>
          <w:rtl w:val="true"/>
        </w:rPr>
        <w:t xml:space="preserve">في حال أي استفسار يجب على المتعامل المتعاقد الاتصال </w:t>
      </w:r>
    </w:p>
    <w:p>
      <w:pPr>
        <w:pStyle w:val="Normal"/>
        <w:tabs>
          <w:tab w:val="clear" w:pos="720"/>
          <w:tab w:val="left" w:pos="1268" w:leader="none"/>
        </w:tabs>
        <w:spacing w:lineRule="auto" w:line="240" w:before="0" w:after="0"/>
        <w:rPr/>
      </w:pPr>
      <w:r>
        <w:rPr>
          <w:rFonts w:ascii="Times New Roman" w:hAnsi="Times New Roman" w:eastAsia="Calibri" w:cs="Times New Roman" w:asciiTheme="majorBidi" w:cstheme="majorBidi" w:hAnsiTheme="majorBidi"/>
          <w:color w:val="000000"/>
          <w:rtl w:val="true"/>
        </w:rPr>
        <w:t xml:space="preserve">بالمهندس المعماري بالجامعة يوسف لبيضة </w:t>
      </w:r>
      <w:r>
        <w:rPr>
          <w:rFonts w:eastAsia="Calibri" w:cs="Times New Roman" w:ascii="Times New Roman" w:hAnsi="Times New Roman" w:asciiTheme="majorBidi" w:cstheme="majorBidi" w:hAnsiTheme="majorBidi"/>
          <w:color w:val="000000"/>
          <w:rtl w:val="true"/>
        </w:rPr>
        <w:t>.</w:t>
      </w:r>
    </w:p>
    <w:p>
      <w:pPr>
        <w:pStyle w:val="Normal"/>
        <w:widowControl/>
        <w:bidi w:val="1"/>
        <w:spacing w:lineRule="auto" w:line="254" w:before="0" w:after="160"/>
        <w:jc w:val="left"/>
        <w:rPr/>
      </w:pPr>
      <w:r>
        <w:rPr>
          <w:rtl w:val="true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  <w:rtl w:val="true"/>
      </w:rPr>
      <w:fldChar w:fldCharType="begin"/>
    </w:r>
    <w:r>
      <w:rPr>
        <w:rtl w:val="true"/>
        <w:caps/>
        <w:color w:val="4472C4"/>
      </w:rPr>
      <w:instrText xml:space="preserve"> PAGE </w:instrText>
    </w:r>
    <w:r>
      <w:rPr>
        <w:rtl w:val="true"/>
        <w:caps/>
        <w:color w:val="4472C4"/>
      </w:rPr>
      <w:fldChar w:fldCharType="separate"/>
    </w:r>
    <w:r>
      <w:rPr>
        <w:rtl w:val="true"/>
        <w:caps/>
        <w:color w:val="4472C4"/>
      </w:rPr>
      <w:t>1</w:t>
    </w:r>
    <w:r>
      <w:rPr>
        <w:rtl w:val="true"/>
        <w:caps/>
        <w:color w:val="4472C4"/>
      </w:rPr>
      <w:fldChar w:fldCharType="end"/>
    </w:r>
  </w:p>
  <w:p>
    <w:pPr>
      <w:pStyle w:val="Footer"/>
      <w:rPr/>
    </w:pPr>
    <w:r>
      <w:rPr>
        <w:rtl w:val="tru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hd w:val="clear" w:color="auto" w:fill="FFFFFF" w:themeFill="background1"/>
      <w:jc w:val="center"/>
      <w:rPr>
        <w:b/>
        <w:bCs/>
        <w:sz w:val="28"/>
        <w:szCs w:val="28"/>
      </w:rPr>
    </w:pPr>
    <w:r>
      <w:rPr>
        <w:b/>
        <w:b/>
        <w:bCs/>
        <w:sz w:val="28"/>
        <w:sz w:val="28"/>
        <w:szCs w:val="28"/>
        <w:rtl w:val="true"/>
      </w:rPr>
      <w:t xml:space="preserve">الكشف الكمي والتقديري  للاستشارة رقم </w:t>
    </w:r>
    <w:r>
      <w:rPr>
        <w:b/>
        <w:bCs/>
        <w:sz w:val="28"/>
        <w:szCs w:val="28"/>
      </w:rPr>
      <w:t>19/2025</w:t>
    </w:r>
    <w:r>
      <w:rPr>
        <w:b/>
        <w:bCs/>
        <w:sz w:val="28"/>
        <w:szCs w:val="28"/>
        <w:rtl w:val="true"/>
      </w:rPr>
      <w:t xml:space="preserve"> </w:t>
    </w:r>
  </w:p>
  <w:p>
    <w:pPr>
      <w:pStyle w:val="Header"/>
      <w:shd w:val="clear" w:color="auto" w:fill="FFFFFF" w:themeFill="background1"/>
      <w:jc w:val="center"/>
      <w:rPr>
        <w:b/>
        <w:bCs/>
        <w:sz w:val="28"/>
        <w:szCs w:val="28"/>
      </w:rPr>
    </w:pPr>
    <w:r>
      <w:rPr>
        <w:b/>
        <w:b/>
        <w:bCs/>
        <w:sz w:val="28"/>
        <w:sz w:val="28"/>
        <w:szCs w:val="28"/>
        <w:rtl w:val="true"/>
      </w:rPr>
      <w:t xml:space="preserve">الحصة رقم </w:t>
    </w:r>
    <w:r>
      <w:rPr>
        <w:b/>
        <w:bCs/>
        <w:sz w:val="28"/>
        <w:szCs w:val="28"/>
      </w:rPr>
      <w:t>02</w:t>
    </w:r>
    <w:r>
      <w:rPr>
        <w:b/>
        <w:bCs/>
        <w:sz w:val="28"/>
        <w:szCs w:val="28"/>
        <w:rtl w:val="true"/>
      </w:rPr>
      <w:t xml:space="preserve"> </w:t>
    </w:r>
    <w:r>
      <w:rPr>
        <w:b/>
        <w:b/>
        <w:bCs/>
        <w:sz w:val="28"/>
        <w:sz w:val="28"/>
        <w:szCs w:val="28"/>
        <w:rtl w:val="true"/>
      </w:rPr>
      <w:t>المتعلقة بترميم وصيانة البهو التكنولوجي لكلية العلوم الدقيقة</w:t>
    </w:r>
  </w:p>
</w:hdr>
</file>

<file path=word/settings.xml><?xml version="1.0" encoding="utf-8"?>
<w:settings xmlns:w="http://schemas.openxmlformats.org/wordprocessingml/2006/main">
  <w:zoom w:percent="100"/>
  <w:gutterAtTop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2384"/>
    <w:pPr>
      <w:widowControl/>
      <w:bidi w:val="1"/>
      <w:spacing w:lineRule="auto" w:line="254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d238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d238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d238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d238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d23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LibreOffice/7.5.8.2$Windows_X86_64 LibreOffice_project/f718d63693263970429a68f568db6046aaa9df01</Application>
  <AppVersion>15.0000</AppVersion>
  <Pages>1</Pages>
  <Words>356</Words>
  <Characters>1715</Characters>
  <CharactersWithSpaces>2058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2025-07-22T09:38:00Z</dcterms:created>
  <dc:creator>sadok Hani</dc:creator>
  <dc:description/>
  <dc:language>en-US</dc:language>
  <cp:lastModifiedBy>sadok Hani</cp:lastModifiedBy>
  <cp:lastPrinted>2025-07-22T09:56:00Z</cp:lastPrinted>
  <dcterms:modified xsi:type="dcterms:W3CDTF">2025-07-22T10:08:00Z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